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Prístup do „papierovej“ zdravotnej dokumentácie u poskytovateľa zdravotnej starostlivosti má:</w:t>
      </w:r>
    </w:p>
    <w:p>
      <w:pPr>
        <w:pBdr/>
        <w:spacing/>
        <w:ind/>
        <w:rPr/>
      </w:pPr>
    </w:p>
    <w:p>
      <w:pPr>
        <w:pBdr/>
        <w:spacing/>
        <w:ind/>
        <w:rPr/>
      </w:pPr>
      <w:r>
        <w:t xml:space="preserve">PACIENT alebo jeho zákonný zástupca (v prípade neplnoletého zvyčajne rodič) v celom rozsahu;</w:t>
      </w:r>
    </w:p>
    <w:p>
      <w:pPr>
        <w:pBdr/>
        <w:spacing/>
        <w:ind/>
        <w:rPr/>
      </w:pPr>
    </w:p>
    <w:p>
      <w:pPr>
        <w:pBdr/>
        <w:spacing/>
        <w:ind/>
        <w:rPr/>
      </w:pPr>
      <w:r>
        <w:t xml:space="preserve">BLÍZKE OSOBY: Manžel alebo manželka, dieťa alebo rodič alebo ich zákonný zástupca po smrti tejto osoby, a to v celom rozsahu; ak takáto osoba nie je, osoba plnoletá, ktorá s ňou žila v čase smrti v domácnosti (§ 115 Občianskeho zákonníka), blízka osoba (§ 1</w:t>
      </w:r>
      <w:r>
        <w:t xml:space="preserve">16 Občianskeho zákonníka) alebo ich zákonný zástupca;</w:t>
      </w:r>
    </w:p>
    <w:p>
      <w:pPr>
        <w:pBdr/>
        <w:spacing/>
        <w:ind/>
        <w:rPr/>
      </w:pPr>
    </w:p>
    <w:p>
      <w:pPr>
        <w:pBdr/>
        <w:spacing/>
        <w:ind/>
        <w:rPr>
          <w:highlight w:val="none"/>
        </w:rPr>
      </w:pPr>
      <w:r>
        <w:t xml:space="preserve">SPLNOMOCNENEC, teda ktokoľvek, koho na nahliadanie do zdravotnej dokumentácie písomne splnomocnil pacient alebo v prípade smrti pacienta nikto z blízkych osôb. Podpis splnomocniteľa musí byť osvedčený. Splnomocnenec má právo nahliadať v takom rozsahu, aký j</w:t>
      </w:r>
      <w:r>
        <w:t xml:space="preserve">e uvedený v plnej moci;</w:t>
      </w:r>
      <w:bookmarkStart w:id="0" w:name="_GoBack"/>
      <w:bookmarkEnd w:id="0"/>
    </w:p>
    <w:p>
      <w:pPr>
        <w:pBdr/>
        <w:spacing/>
        <w:ind/>
        <w:rPr/>
      </w:pPr>
    </w:p>
    <w:p>
      <w:pPr>
        <w:pBdr/>
        <w:spacing/>
        <w:ind/>
        <w:rPr/>
      </w:pPr>
      <w:r>
        <w:rPr>
          <w:highlight w:val="none"/>
        </w:rPr>
        <w:t xml:space="preserve">Domácnosť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§ 115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Domácnosť tvoria fyzické osoby, ktoré spolu trvale žijú a spoločne uhradzujú náklady na svoje potreby.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Blízke osoby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§ 116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Blízkou osobou je príbuzný v priamom rade, súrodenec a manžel; iné osoby v pomere rodinnom alebo obdobnom sa pokladajú za osoby sebe navzájom blízke, ak by ujmu, ktorú utrpela jedna z nich, druhá dôvodne pociťovala ako vlastnú ujmu.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9a3d8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28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965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adb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9d18f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2024-11-09T10:35:08Z</dcterms:modified>
</cp:coreProperties>
</file>